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54" w:rsidRDefault="00C04E54"/>
    <w:p w:rsidR="0007688D" w:rsidRDefault="0007688D"/>
    <w:p w:rsidR="0007688D" w:rsidRDefault="0007688D"/>
    <w:p w:rsidR="0007688D" w:rsidRDefault="0007688D" w:rsidP="0007688D">
      <w:pPr>
        <w:jc w:val="center"/>
      </w:pPr>
      <w:bookmarkStart w:id="0" w:name="_GoBack"/>
      <w:bookmarkEnd w:id="0"/>
    </w:p>
    <w:p w:rsidR="0007688D" w:rsidRDefault="0007688D" w:rsidP="0007688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7688D" w:rsidRDefault="0007688D" w:rsidP="0007688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7688D" w:rsidRPr="0007688D" w:rsidRDefault="0007688D" w:rsidP="0007688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7688D">
        <w:rPr>
          <w:rFonts w:ascii="Times New Roman" w:hAnsi="Times New Roman" w:cs="Times New Roman"/>
          <w:b/>
          <w:sz w:val="40"/>
          <w:szCs w:val="40"/>
          <w:u w:val="single"/>
        </w:rPr>
        <w:t>PRICE / EARNING RATIO</w:t>
      </w:r>
    </w:p>
    <w:p w:rsidR="0007688D" w:rsidRPr="0007688D" w:rsidRDefault="0007688D" w:rsidP="0007688D">
      <w:pPr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07688D" w:rsidRDefault="0007688D" w:rsidP="0007688D">
      <w:pPr>
        <w:rPr>
          <w:rFonts w:ascii="Trebuchet MS" w:hAnsi="Trebuchet MS"/>
          <w:color w:val="1F497D"/>
          <w:sz w:val="20"/>
          <w:szCs w:val="20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852"/>
        <w:gridCol w:w="751"/>
        <w:gridCol w:w="636"/>
        <w:gridCol w:w="709"/>
        <w:gridCol w:w="856"/>
        <w:gridCol w:w="709"/>
        <w:gridCol w:w="709"/>
      </w:tblGrid>
      <w:tr w:rsidR="0007688D" w:rsidTr="0007688D">
        <w:trPr>
          <w:trHeight w:val="54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2018</w:t>
            </w:r>
          </w:p>
        </w:tc>
      </w:tr>
      <w:tr w:rsidR="0007688D" w:rsidTr="0007688D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Market value per share (as at 30th June)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9.71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13.90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15.11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31.18</w:t>
            </w:r>
          </w:p>
        </w:tc>
      </w:tr>
      <w:tr w:rsidR="0007688D" w:rsidTr="0007688D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Earnings</w:t>
            </w:r>
            <w:r>
              <w:rPr>
                <w:rFonts w:ascii="Trebuchet MS" w:hAnsi="Trebuchet MS"/>
                <w:color w:val="1F497D"/>
                <w:sz w:val="20"/>
                <w:szCs w:val="20"/>
              </w:rPr>
              <w:t xml:space="preserve"> per share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(5.00)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(0.77)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0.53</w:t>
            </w:r>
          </w:p>
        </w:tc>
      </w:tr>
      <w:tr w:rsidR="0007688D" w:rsidTr="0007688D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P/E Ratio (A/B)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(1.27)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34.85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(18.05)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55.96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88D" w:rsidRDefault="0007688D">
            <w:pPr>
              <w:jc w:val="center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58.83</w:t>
            </w:r>
          </w:p>
        </w:tc>
      </w:tr>
    </w:tbl>
    <w:p w:rsidR="0007688D" w:rsidRDefault="0007688D">
      <w:pPr>
        <w:rPr>
          <w:rFonts w:ascii="Times New Roman" w:hAnsi="Times New Roman" w:cs="Times New Roman"/>
        </w:rPr>
      </w:pPr>
    </w:p>
    <w:p w:rsidR="0007688D" w:rsidRDefault="0007688D">
      <w:pPr>
        <w:rPr>
          <w:rFonts w:ascii="Times New Roman" w:hAnsi="Times New Roman" w:cs="Times New Roman"/>
        </w:rPr>
      </w:pPr>
    </w:p>
    <w:p w:rsidR="0007688D" w:rsidRPr="0007688D" w:rsidRDefault="0007688D">
      <w:pPr>
        <w:rPr>
          <w:rFonts w:ascii="Times New Roman" w:hAnsi="Times New Roman" w:cs="Times New Roman"/>
        </w:rPr>
      </w:pPr>
      <w:r w:rsidRPr="0007688D">
        <w:rPr>
          <w:rFonts w:ascii="Times New Roman" w:hAnsi="Times New Roman" w:cs="Times New Roman"/>
        </w:rPr>
        <w:t>*P/E Ratio is calculated on breakup value, in the absence of market value of shares for prior years.</w:t>
      </w:r>
    </w:p>
    <w:p w:rsidR="0007688D" w:rsidRDefault="0007688D"/>
    <w:sectPr w:rsidR="00076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8D"/>
    <w:rsid w:val="0007688D"/>
    <w:rsid w:val="00C0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Ziauddin Ahmed</dc:creator>
  <cp:lastModifiedBy>Syed Ziauddin Ahmed</cp:lastModifiedBy>
  <cp:revision>1</cp:revision>
  <cp:lastPrinted>2023-11-06T10:58:00Z</cp:lastPrinted>
  <dcterms:created xsi:type="dcterms:W3CDTF">2023-11-06T10:53:00Z</dcterms:created>
  <dcterms:modified xsi:type="dcterms:W3CDTF">2023-11-06T11:13:00Z</dcterms:modified>
</cp:coreProperties>
</file>